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CD" w:rsidRDefault="00CE06CE" w:rsidP="00D63532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rFonts w:ascii="Arial" w:hAnsi="Arial" w:cs="Arial"/>
          <w:color w:val="1C1C1C"/>
          <w:shd w:val="clear" w:color="auto" w:fill="EDEDED"/>
        </w:rPr>
      </w:pPr>
      <w:bookmarkStart w:id="0" w:name="_GoBack"/>
      <w:r>
        <w:rPr>
          <w:rFonts w:ascii="Arial" w:hAnsi="Arial" w:cs="Arial"/>
          <w:color w:val="1C1C1C"/>
          <w:shd w:val="clear" w:color="auto" w:fill="EDEDED"/>
        </w:rPr>
        <w:t>Новая информация для  населения</w:t>
      </w:r>
    </w:p>
    <w:bookmarkEnd w:id="0"/>
    <w:p w:rsidR="005D20DE" w:rsidRDefault="005D20DE" w:rsidP="00D63532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rFonts w:ascii="Arial" w:hAnsi="Arial" w:cs="Arial"/>
          <w:color w:val="1C1C1C"/>
          <w:shd w:val="clear" w:color="auto" w:fill="EDEDED"/>
        </w:rPr>
      </w:pPr>
    </w:p>
    <w:p w:rsidR="005D20DE" w:rsidRPr="005D20DE" w:rsidRDefault="00E64D1A" w:rsidP="005D20DE">
      <w:pPr>
        <w:spacing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Arial" w:hAnsi="Arial" w:cs="Arial"/>
          <w:color w:val="1C1C1C"/>
          <w:shd w:val="clear" w:color="auto" w:fill="EDEDED"/>
        </w:rPr>
        <w:t>1</w:t>
      </w:r>
      <w:r w:rsidR="00EA2266">
        <w:rPr>
          <w:rFonts w:ascii="Arial" w:hAnsi="Arial" w:cs="Arial"/>
          <w:color w:val="1C1C1C"/>
          <w:shd w:val="clear" w:color="auto" w:fill="EDEDED"/>
        </w:rPr>
        <w:t>. </w:t>
      </w:r>
      <w:r w:rsidR="00B15223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Кому положены льготы на вывоз твердых коммунальных отходов, и где их оформить</w:t>
      </w:r>
      <w:r w:rsidR="00B15223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</w:t>
      </w:r>
    </w:p>
    <w:p w:rsidR="005D20DE" w:rsidRPr="005D20DE" w:rsidRDefault="00B15223" w:rsidP="005D20DE">
      <w:pPr>
        <w:spacing w:after="0"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5D20DE" w:rsidRPr="005D20DE" w:rsidRDefault="005D20DE" w:rsidP="00B15223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 01.01.2019 услуга по сбору и вывозу твердых коммунальных отходов (далее – ТКО) стала коммунальной. Как и на любую коммунальную услугу, на вывоз ТКО для некоторых категорий граждан предусмотрены льготы. На эту услугу распространяется ежемесячная денежная компенсация на оплату жилищных и коммунальных услуг (далее – ЕДК)</w:t>
      </w:r>
      <w:proofErr w:type="gramStart"/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.С</w:t>
      </w:r>
      <w:proofErr w:type="gramEnd"/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огласно федеральному законодательству право на ЕДК имеют следующие категории граждан:- инвалиды I, II и III группы;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инвалиды и участники ликвидации последствий аварии на ЧАЭС;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ветераны труда;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инвалиды и участники Великой Отечественной войны, члены семей погибших;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участники боевых действий;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лица, награжденные знаком «Житель блокадного Ленинграда» и члены их семей;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семьи с детьми-инвалидами;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лица, пострадавшие от политических репрессий;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- многодетные семьи (им предоставляется компенсация в размере 30%).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5D20D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При этом региональные власти имеют право расширить этот круг лиц, а также увеличить объем предоставляемых льгот.</w:t>
      </w:r>
    </w:p>
    <w:p w:rsidR="005D20DE" w:rsidRPr="005D20DE" w:rsidRDefault="005D20DE" w:rsidP="005D20DE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DF04FF" w:rsidRPr="00DF04FF" w:rsidRDefault="005D20DE" w:rsidP="00B15223">
      <w:pPr>
        <w:spacing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Arial" w:hAnsi="Arial" w:cs="Arial"/>
          <w:color w:val="1C1C1C"/>
          <w:shd w:val="clear" w:color="auto" w:fill="EDEDED"/>
        </w:rPr>
        <w:t xml:space="preserve"> 2.</w:t>
      </w:r>
      <w:r w:rsidR="00DF04FF" w:rsidRPr="00DF04FF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  <w:r w:rsidR="00DF04FF"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Кто отвечает за обслуживание почтовых ящиков в многоквартирном доме</w:t>
      </w:r>
      <w:r w:rsidR="00B15223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</w:t>
      </w:r>
    </w:p>
    <w:p w:rsidR="00DF04FF" w:rsidRPr="00DF04FF" w:rsidRDefault="00DF04FF" w:rsidP="00DF04FF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В соответствии со ст.2 Федерального закона от 17.07.1999 №176-ФЗ «О почтовой связи» (далее – Закон №176-ФЗ) под почтовым ящиком, расположенным в многоквартирном доме, понимается специальный запирающийся ящик, предназначенный для получения адресатами почтовых отправлений.</w:t>
      </w:r>
      <w:r w:rsidR="00CE06C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Почтовые ящики устанавливаются строительными организациями на первых этажах многоэтажных жилых домов. Расходы на их приобретение и установку включаются в смету строительства таких домов.</w:t>
      </w:r>
      <w:r w:rsidR="00CE06C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Обслуживание, ремонт и замена почтовых ящиков возлагаются на собственников жилых домов или жилищно-эксплуатационные организации, которые обеспечивают сохранность жилых домов и надлежащее их использование, и осуществляются за счет собственников жилых домов (</w:t>
      </w:r>
      <w:hyperlink r:id="rId6" w:history="1">
        <w:r w:rsidRPr="00DF04FF">
          <w:rPr>
            <w:rFonts w:ascii="Times New Roman" w:eastAsia="Times New Roman" w:hAnsi="Times New Roman" w:cs="Times New Roman"/>
            <w:color w:val="0076B2"/>
            <w:sz w:val="21"/>
            <w:szCs w:val="21"/>
            <w:u w:val="single"/>
            <w:bdr w:val="none" w:sz="0" w:space="0" w:color="auto" w:frame="1"/>
            <w:lang w:eastAsia="ru-RU"/>
          </w:rPr>
          <w:t>ч.7 ст.31</w:t>
        </w:r>
      </w:hyperlink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 Закона №176-ФЗ)</w:t>
      </w:r>
      <w:proofErr w:type="gram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.С</w:t>
      </w:r>
      <w:proofErr w:type="gram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учетом того, что почтовые ящики относятся к общему имуществу многоквартирного дома, обслуживать их должны управляющая организация, с которой у собственников помещений в многоквартирном </w:t>
      </w:r>
      <w:proofErr w:type="gram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доме</w:t>
      </w:r>
      <w:proofErr w:type="gram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заключен договор управления таким домом, ТСЖ (жилищный кооператив, иной специализированный кооператив) или иные лица, выполняющие работу по содержанию и ремонту общего имущества в многоквартирном доме (</w:t>
      </w:r>
      <w:hyperlink r:id="rId7" w:history="1">
        <w:r w:rsidRPr="00DF04FF">
          <w:rPr>
            <w:rFonts w:ascii="Times New Roman" w:eastAsia="Times New Roman" w:hAnsi="Times New Roman" w:cs="Times New Roman"/>
            <w:color w:val="0076B2"/>
            <w:sz w:val="21"/>
            <w:szCs w:val="21"/>
            <w:u w:val="single"/>
            <w:bdr w:val="none" w:sz="0" w:space="0" w:color="auto" w:frame="1"/>
            <w:lang w:eastAsia="ru-RU"/>
          </w:rPr>
          <w:t>ст.ст.135</w:t>
        </w:r>
      </w:hyperlink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, </w:t>
      </w:r>
      <w:hyperlink r:id="rId8" w:history="1">
        <w:r w:rsidRPr="00DF04FF">
          <w:rPr>
            <w:rFonts w:ascii="Times New Roman" w:eastAsia="Times New Roman" w:hAnsi="Times New Roman" w:cs="Times New Roman"/>
            <w:color w:val="0076B2"/>
            <w:sz w:val="21"/>
            <w:szCs w:val="21"/>
            <w:u w:val="single"/>
            <w:bdr w:val="none" w:sz="0" w:space="0" w:color="auto" w:frame="1"/>
            <w:lang w:eastAsia="ru-RU"/>
          </w:rPr>
          <w:t>161</w:t>
        </w:r>
      </w:hyperlink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, </w:t>
      </w:r>
      <w:hyperlink r:id="rId9" w:history="1">
        <w:r w:rsidRPr="00DF04FF">
          <w:rPr>
            <w:rFonts w:ascii="Times New Roman" w:eastAsia="Times New Roman" w:hAnsi="Times New Roman" w:cs="Times New Roman"/>
            <w:color w:val="0076B2"/>
            <w:sz w:val="21"/>
            <w:szCs w:val="21"/>
            <w:u w:val="single"/>
            <w:bdr w:val="none" w:sz="0" w:space="0" w:color="auto" w:frame="1"/>
            <w:lang w:eastAsia="ru-RU"/>
          </w:rPr>
          <w:t>162</w:t>
        </w:r>
      </w:hyperlink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 ЖК РФ).</w:t>
      </w:r>
    </w:p>
    <w:p w:rsidR="00E64D1A" w:rsidRDefault="00E64D1A" w:rsidP="00D63532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rFonts w:ascii="Arial" w:hAnsi="Arial" w:cs="Arial"/>
          <w:color w:val="1C1C1C"/>
          <w:shd w:val="clear" w:color="auto" w:fill="EDEDED"/>
        </w:rPr>
      </w:pPr>
    </w:p>
    <w:p w:rsidR="00DF04FF" w:rsidRDefault="00DF04FF" w:rsidP="00DF04FF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  <w:r>
        <w:rPr>
          <w:rFonts w:ascii="Arial" w:hAnsi="Arial" w:cs="Arial"/>
          <w:color w:val="1C1C1C"/>
        </w:rPr>
        <w:t>3.</w:t>
      </w:r>
      <w:r w:rsidRPr="00DF04FF">
        <w:rPr>
          <w:color w:val="2B2B2B"/>
          <w:sz w:val="21"/>
          <w:szCs w:val="21"/>
        </w:rPr>
        <w:t xml:space="preserve"> Можно ли в случае расторжения договора долевого участия в строительстве взыскать с застройщика у</w:t>
      </w:r>
      <w:r w:rsidR="00B15223">
        <w:rPr>
          <w:color w:val="2B2B2B"/>
          <w:sz w:val="21"/>
          <w:szCs w:val="21"/>
        </w:rPr>
        <w:t>плаченные ему денежные средства.</w:t>
      </w:r>
    </w:p>
    <w:p w:rsidR="00B15223" w:rsidRPr="00DF04FF" w:rsidRDefault="00B15223" w:rsidP="00DF04FF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</w:p>
    <w:p w:rsidR="00DF04FF" w:rsidRPr="00DF04FF" w:rsidRDefault="00DF04FF" w:rsidP="008C032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F04FF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> </w:t>
      </w:r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proofErr w:type="gram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Согласно части 2 статьи 9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Закон №214-ФЗ) при расторжении договора вследствие: 1) неисполнения застройщиком обязательства по передаче объекта долевого строительства в срок, превышающий установленный договором срок передачи такого объекта на два месяца;</w:t>
      </w:r>
      <w:proofErr w:type="gram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2) неисполнения застройщиком обязанностей, предусмотренных </w:t>
      </w:r>
      <w:hyperlink r:id="rId10" w:history="1">
        <w:r w:rsidRPr="00DF04FF">
          <w:rPr>
            <w:rFonts w:ascii="Times New Roman" w:eastAsia="Times New Roman" w:hAnsi="Times New Roman" w:cs="Times New Roman"/>
            <w:color w:val="0076B2"/>
            <w:sz w:val="21"/>
            <w:szCs w:val="21"/>
            <w:u w:val="single"/>
            <w:bdr w:val="none" w:sz="0" w:space="0" w:color="auto" w:frame="1"/>
            <w:lang w:eastAsia="ru-RU"/>
          </w:rPr>
          <w:t>частью 2 статьи 7</w:t>
        </w:r>
      </w:hyperlink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 Закона №214-ФЗ; 3) существенного нарушения требований к качеству объекта долевого строительства; </w:t>
      </w:r>
      <w:proofErr w:type="gram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4) нарушения застройщиком обязанностей, предусмотренных </w:t>
      </w:r>
      <w:hyperlink r:id="rId11" w:history="1">
        <w:r w:rsidRPr="00DF04FF">
          <w:rPr>
            <w:rFonts w:ascii="Times New Roman" w:eastAsia="Times New Roman" w:hAnsi="Times New Roman" w:cs="Times New Roman"/>
            <w:color w:val="0076B2"/>
            <w:sz w:val="21"/>
            <w:szCs w:val="21"/>
            <w:u w:val="single"/>
            <w:bdr w:val="none" w:sz="0" w:space="0" w:color="auto" w:frame="1"/>
            <w:lang w:eastAsia="ru-RU"/>
          </w:rPr>
          <w:t>частью 3 статьи 15.1</w:t>
        </w:r>
      </w:hyperlink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 Закона №214-ФЗ, а также в иных установленных федеральным законом или договором случаях застройщик в течение двадцати рабочих дней со дня расторжения договора обязан возвратить участнику долевого строительства денежные средства, уплаченные им в счет цены договора, а также уплатить проценты на эту сумму за пользование указанными денежными средствами в размере одной трехсотой</w:t>
      </w:r>
      <w:proofErr w:type="gram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 </w:t>
      </w:r>
      <w:hyperlink r:id="rId12" w:history="1">
        <w:r w:rsidRPr="00DF04FF">
          <w:rPr>
            <w:rFonts w:ascii="Times New Roman" w:eastAsia="Times New Roman" w:hAnsi="Times New Roman" w:cs="Times New Roman"/>
            <w:color w:val="0076B2"/>
            <w:sz w:val="21"/>
            <w:szCs w:val="21"/>
            <w:u w:val="single"/>
            <w:bdr w:val="none" w:sz="0" w:space="0" w:color="auto" w:frame="1"/>
            <w:lang w:eastAsia="ru-RU"/>
          </w:rPr>
          <w:t>ставки рефинансирования</w:t>
        </w:r>
      </w:hyperlink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 Центрального банка Российской Федерации, действующей на день исполнения </w:t>
      </w:r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lastRenderedPageBreak/>
        <w:t>обязательства по возврату денежных средств, уплаченных участником долевого строительства.</w:t>
      </w:r>
      <w:r w:rsidR="00CE06C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Указанные проценты начисляются со дня внесения участником долевого строительства денежных средств или части денежных сре</w:t>
      </w:r>
      <w:proofErr w:type="gram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дств в сч</w:t>
      </w:r>
      <w:proofErr w:type="gram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ет цены договора до дня их возврата застройщиком участнику долевого строительства. Если участником долевого строительства является гражданин, указанные проценты уплачиваются застройщиком в двойном размере.</w:t>
      </w:r>
      <w:r w:rsidR="00CE06C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При расторжении договора в судебном порядке вследствие: 1) прекращения или приостановления строительства (создания) многоквартирного дома и (или) иного объекта недвижимости, в состав которых входит объект долевого строительства, при наличии обстоятельств, очевидно свидетельствующих о том, что в предусмотренный договором срок объект долевого строительства не будет передан участнику долевого строительства; </w:t>
      </w:r>
      <w:proofErr w:type="gram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2) существенного изменения проектной документации строящихся (создаваемых) многоквартирного дома и (или) иного объекта недвижимости, в состав которых входит объект долевого строительства, в том числе превышения допустимого изменения общей площади жилого помещения или площади нежилого помещения, являющихся объектом долевого строительства, которое может быть установлено в договоре в размере не более пяти процентов от указанной площади;</w:t>
      </w:r>
      <w:proofErr w:type="gram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3) изменения назначения общего имущества и (или) нежилых помещений, входящих в состав многоквартирного дома и (или) иного объекта недвижимости, а также в иных установленных федеральным законом или договором случаях застройщик обязан выполнить указанные выше действия в течение десяти рабочих дней со дня расторжения договора.</w:t>
      </w:r>
      <w:r w:rsidR="00CE06C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proofErr w:type="gramStart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Если в течение соответствующего установленного срока участник долевого строительства не обратился к застройщику за получением денежных средств, уплаченных участником долевого строительства в счет цены договора, и процентов на эту сумму за пользование указанными денежными средствами, застройщик не позднее дня, следующего за рабочим днем после истечения указанного срока, обязан зачислить денежные средства и проценты за пользование денежными средствами в депозит нотариуса</w:t>
      </w:r>
      <w:proofErr w:type="gramEnd"/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по месту нахождения застройщика, о чем сообщается участнику долевого строительства.</w:t>
      </w:r>
      <w:r w:rsidR="00CE06C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DF04FF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Как отмечено в определении Верховного суда Российской Федерации от 22.10.2019 №18-КГ19-101, с застройщика, помимо этого, может быть взыскана компенсация морального вреда и штраф, предусмотренный  пунктом 6 статьи 13 Закон Российской Федерации от 07.02.1992 №2300-1 «О защите прав потребителей».</w:t>
      </w:r>
    </w:p>
    <w:p w:rsidR="00610201" w:rsidRPr="00610201" w:rsidRDefault="00EA2266" w:rsidP="00610201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  <w:r>
        <w:rPr>
          <w:rFonts w:ascii="Arial" w:hAnsi="Arial" w:cs="Arial"/>
          <w:color w:val="1C1C1C"/>
        </w:rPr>
        <w:br/>
      </w:r>
      <w:r w:rsidR="00610201">
        <w:rPr>
          <w:rFonts w:ascii="Arial" w:hAnsi="Arial" w:cs="Arial"/>
          <w:color w:val="1C1C1C"/>
        </w:rPr>
        <w:t>4.</w:t>
      </w:r>
      <w:r w:rsidR="00610201" w:rsidRPr="00610201">
        <w:rPr>
          <w:color w:val="2B2B2B"/>
          <w:sz w:val="21"/>
          <w:szCs w:val="21"/>
        </w:rPr>
        <w:t xml:space="preserve"> По каким основаниям могут быть перенесены сроки выполнения подрядными организациями работ по капитальному ремонту многоквартирных домов?</w:t>
      </w:r>
    </w:p>
    <w:p w:rsidR="00610201" w:rsidRDefault="00610201" w:rsidP="00610201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610201" w:rsidRDefault="00610201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Нарушение подрядными организациями сроков выполнения работ по капитальному ремонту многоквартирных домов образует состав административного правонарушения, предусмотренного ч.9 ст.7.32.4 КоАП РФ. Санкцией данной статьи предусмотрено наказание </w:t>
      </w:r>
      <w:proofErr w:type="gramStart"/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для должностных лиц в виде штрафа в размере от двадцати тысяч до тридцати тысяч рублей</w:t>
      </w:r>
      <w:proofErr w:type="gramEnd"/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, юридических лиц – от пятидесяти тысяч до трехсот тысяч рублей.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Опасение подрядных организаций быть привлеченными к административной ответственности снижает их активность в участии в торгах, проводимых региональным оператором, в преддверии отопительного периода. В отдельных случаях в связи с отсутствием заявок торги признаются несостоявшимися.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Однако законодательством определены условия переноса договорных сроков выполнения работ, исключающие возможность привлечения подрядных организаций и их должностных лиц к административной ответственности.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proofErr w:type="gramStart"/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Постановлением Правительства Российской Федерации от 01.07.2016 №615 утвержден Порядок привлечения подрядных организаций для оказания услуг и (или) выполнения работ по капитальному ремонту общего имущества в многоквартирном доме и порядок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домах.</w:t>
      </w:r>
      <w:proofErr w:type="gramEnd"/>
      <w:r w:rsidR="00CE06C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proofErr w:type="gramStart"/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В соответствии с вышеназванным Порядком сроки оказания услуг и (или) выполнения работ по договору о проведении капитального ремонта по соглашению сторон могут быть продлены на период действия следующих обстоятельств при наличии документов, их подтверждающих:- изменение объема оказываемых услуг и (или)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</w:t>
      </w:r>
      <w:proofErr w:type="gramEnd"/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, уполномоченным представителем собственников таких помещений или органами местного самоуправления в случаях, предусмотренных </w:t>
      </w:r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lastRenderedPageBreak/>
        <w:t xml:space="preserve">законодательством Российской Федерации;- </w:t>
      </w:r>
      <w:proofErr w:type="spellStart"/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недопуск</w:t>
      </w:r>
      <w:proofErr w:type="spellEnd"/>
      <w:r w:rsidRPr="00610201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собственниками помещений в многоквартирном доме подрядной организации к оказанию услуг и (или) выполнению работ по капитальному ремонту по причинам, не связанным с неисполнением или ненадлежащим исполнением такой организацией договора о проведении капитального ремонта;- приостановка оказания услуг и (или) выполнения работ по капитальному ремонту в связи с наступлением отопительного сезона и (или) неблагоприятных погодных условий.</w:t>
      </w:r>
    </w:p>
    <w:p w:rsidR="00D76B87" w:rsidRDefault="00D76B87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D76B87" w:rsidRPr="00D76B87" w:rsidRDefault="00D76B87" w:rsidP="00D76B87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  <w:r>
        <w:rPr>
          <w:color w:val="2B2B2B"/>
          <w:sz w:val="21"/>
          <w:szCs w:val="21"/>
        </w:rPr>
        <w:t>5.</w:t>
      </w:r>
      <w:r w:rsidRPr="00D76B87">
        <w:rPr>
          <w:color w:val="2B2B2B"/>
          <w:sz w:val="21"/>
          <w:szCs w:val="21"/>
        </w:rPr>
        <w:t xml:space="preserve"> </w:t>
      </w:r>
      <w:r>
        <w:rPr>
          <w:color w:val="2B2B2B"/>
          <w:sz w:val="21"/>
          <w:szCs w:val="21"/>
        </w:rPr>
        <w:t xml:space="preserve"> </w:t>
      </w:r>
      <w:r w:rsidRPr="00D76B87">
        <w:rPr>
          <w:color w:val="2B2B2B"/>
          <w:sz w:val="21"/>
          <w:szCs w:val="21"/>
        </w:rPr>
        <w:t xml:space="preserve">В связи с принимаемыми мерами по борьбе с распространением </w:t>
      </w:r>
      <w:proofErr w:type="spellStart"/>
      <w:r w:rsidRPr="00D76B87">
        <w:rPr>
          <w:color w:val="2B2B2B"/>
          <w:sz w:val="21"/>
          <w:szCs w:val="21"/>
        </w:rPr>
        <w:t>коронавирусной</w:t>
      </w:r>
      <w:proofErr w:type="spellEnd"/>
      <w:r w:rsidRPr="00D76B87">
        <w:rPr>
          <w:color w:val="2B2B2B"/>
          <w:sz w:val="21"/>
          <w:szCs w:val="21"/>
        </w:rPr>
        <w:t xml:space="preserve"> </w:t>
      </w:r>
      <w:proofErr w:type="gramStart"/>
      <w:r w:rsidRPr="00D76B87">
        <w:rPr>
          <w:color w:val="2B2B2B"/>
          <w:sz w:val="21"/>
          <w:szCs w:val="21"/>
        </w:rPr>
        <w:t>инфекции</w:t>
      </w:r>
      <w:proofErr w:type="gramEnd"/>
      <w:r w:rsidRPr="00D76B87">
        <w:rPr>
          <w:color w:val="2B2B2B"/>
          <w:sz w:val="21"/>
          <w:szCs w:val="21"/>
        </w:rPr>
        <w:t xml:space="preserve"> </w:t>
      </w:r>
      <w:r>
        <w:rPr>
          <w:color w:val="2B2B2B"/>
          <w:sz w:val="21"/>
          <w:szCs w:val="21"/>
        </w:rPr>
        <w:t xml:space="preserve"> если </w:t>
      </w:r>
      <w:r w:rsidRPr="00D76B87">
        <w:rPr>
          <w:color w:val="2B2B2B"/>
          <w:sz w:val="21"/>
          <w:szCs w:val="21"/>
        </w:rPr>
        <w:t xml:space="preserve"> не всегда успева</w:t>
      </w:r>
      <w:r>
        <w:rPr>
          <w:color w:val="2B2B2B"/>
          <w:sz w:val="21"/>
          <w:szCs w:val="21"/>
        </w:rPr>
        <w:t>ть</w:t>
      </w:r>
      <w:r w:rsidRPr="00D76B87">
        <w:rPr>
          <w:color w:val="2B2B2B"/>
          <w:sz w:val="21"/>
          <w:szCs w:val="21"/>
        </w:rPr>
        <w:t xml:space="preserve"> вовремя оплатить коммунальные услуги</w:t>
      </w:r>
      <w:r>
        <w:rPr>
          <w:color w:val="2B2B2B"/>
          <w:sz w:val="21"/>
          <w:szCs w:val="21"/>
        </w:rPr>
        <w:t xml:space="preserve"> б</w:t>
      </w:r>
      <w:r w:rsidRPr="00D76B87">
        <w:rPr>
          <w:color w:val="2B2B2B"/>
          <w:sz w:val="21"/>
          <w:szCs w:val="21"/>
        </w:rPr>
        <w:t xml:space="preserve">удут ли </w:t>
      </w:r>
      <w:r>
        <w:rPr>
          <w:color w:val="2B2B2B"/>
          <w:sz w:val="21"/>
          <w:szCs w:val="21"/>
        </w:rPr>
        <w:t xml:space="preserve"> </w:t>
      </w:r>
      <w:r w:rsidRPr="00D76B87">
        <w:rPr>
          <w:color w:val="2B2B2B"/>
          <w:sz w:val="21"/>
          <w:szCs w:val="21"/>
        </w:rPr>
        <w:t xml:space="preserve"> начислены пени в связи с этим? </w:t>
      </w:r>
    </w:p>
    <w:p w:rsidR="00D76B87" w:rsidRPr="00D76B87" w:rsidRDefault="00D76B87" w:rsidP="00D76B87">
      <w:pPr>
        <w:spacing w:after="0"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D76B87" w:rsidRPr="00D76B87" w:rsidRDefault="00D76B87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proofErr w:type="gramStart"/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06.04.2020 вступило в силу постановление Правительства Российской Федерации от 02.04.2020 №424 «Об особенностях предоставления коммунальных услуг собственникам и пользователям помещений в многоквартирных домах и жилых домов», в соответствии с которым до 01.01.2021 приостановлено взыскание штрафных санкций  (пеней, неустоек) за несвоевременное внесение платы за природный газ и электроэнергию, за жилое помещение, услуг по обращению с коммунальными отходами, водоснабжению, теплоснабжению, водоотведению,  взносов</w:t>
      </w:r>
      <w:proofErr w:type="gramEnd"/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на капремонт.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До вышеуказанной даты поставщик ресурса либо услуги не вправе требовать от потребителя уплаты неустоек (штрафов, пеней).</w:t>
      </w:r>
    </w:p>
    <w:p w:rsidR="00D76B87" w:rsidRPr="00610201" w:rsidRDefault="00D76B87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D76B87" w:rsidRPr="00D76B87" w:rsidRDefault="00610201" w:rsidP="00D76B87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  <w:r w:rsidRPr="00610201">
        <w:rPr>
          <w:color w:val="2B2B2B"/>
          <w:sz w:val="21"/>
          <w:szCs w:val="21"/>
        </w:rPr>
        <w:t> </w:t>
      </w:r>
      <w:r w:rsidR="00D76B87">
        <w:rPr>
          <w:color w:val="2B2B2B"/>
          <w:sz w:val="21"/>
          <w:szCs w:val="21"/>
        </w:rPr>
        <w:t>6.</w:t>
      </w:r>
      <w:r w:rsidR="00D76B87" w:rsidRPr="00D76B87">
        <w:rPr>
          <w:color w:val="2B2B2B"/>
          <w:sz w:val="21"/>
          <w:szCs w:val="21"/>
        </w:rPr>
        <w:t xml:space="preserve"> </w:t>
      </w:r>
      <w:r w:rsidR="00D76B87">
        <w:rPr>
          <w:color w:val="2B2B2B"/>
          <w:sz w:val="21"/>
          <w:szCs w:val="21"/>
        </w:rPr>
        <w:t xml:space="preserve"> </w:t>
      </w:r>
      <w:r w:rsidR="00D76B87" w:rsidRPr="00D76B87">
        <w:rPr>
          <w:color w:val="2B2B2B"/>
          <w:sz w:val="21"/>
          <w:szCs w:val="21"/>
        </w:rPr>
        <w:t xml:space="preserve">Могут ли быть восстановлены процессуальные сроки по гражданскому делу, пропущенные в связи с введением ограничительных мер в целях противодействия распространению </w:t>
      </w:r>
      <w:proofErr w:type="spellStart"/>
      <w:r w:rsidR="00D76B87" w:rsidRPr="00D76B87">
        <w:rPr>
          <w:color w:val="2B2B2B"/>
          <w:sz w:val="21"/>
          <w:szCs w:val="21"/>
        </w:rPr>
        <w:t>коронавирусной</w:t>
      </w:r>
      <w:proofErr w:type="spellEnd"/>
      <w:r w:rsidR="00D76B87" w:rsidRPr="00D76B87">
        <w:rPr>
          <w:color w:val="2B2B2B"/>
          <w:sz w:val="21"/>
          <w:szCs w:val="21"/>
        </w:rPr>
        <w:t xml:space="preserve"> инфекции?</w:t>
      </w:r>
    </w:p>
    <w:p w:rsidR="00D76B87" w:rsidRPr="00D76B87" w:rsidRDefault="00D76B87" w:rsidP="00D76B87">
      <w:pPr>
        <w:spacing w:after="0"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D76B87" w:rsidRPr="00D76B87" w:rsidRDefault="00D76B87" w:rsidP="00D76B87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Восстановление процессуальных сроков для участников гражданского судопроизводства лишенных в силу объективных обстоятельств возможности совершить необходимое процессуальное действие в установленные законом сроки, предусмотрено ст.112 ГПК РФ и ст.95 КАС РФ.</w:t>
      </w:r>
    </w:p>
    <w:p w:rsidR="00D76B87" w:rsidRPr="00D76B87" w:rsidRDefault="00D76B87" w:rsidP="00D76B87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Уважительными являются причины пропуска процессуального срока как связанные с личностью заинтересованного лица, например тяжелая болезнь, беспомощное состояние, неграмотность и тому подобное, так и обстоятельства, объективно препятствовавшие лицу, добросовестно пользующемуся своими процессуальными правами, реализовать свое право в установленный законом срок.</w:t>
      </w:r>
    </w:p>
    <w:p w:rsidR="00D76B87" w:rsidRPr="00D76B87" w:rsidRDefault="00D76B87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В условиях самоизоляции, ограничивающей свободное перемещения граждан, их нахождение в общественных местах, государственных и иных учреждениях, изменений графика работы органов и организаций, сроки совершения процессуальных действий лицами, участвующими в деле, пропущенные в связи с введенными мерами по противодействию распространению новой </w:t>
      </w:r>
      <w:proofErr w:type="spellStart"/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коронавирусной</w:t>
      </w:r>
      <w:proofErr w:type="spellEnd"/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инфекции, подлежат восстановлению в соответствии с процессуальным законодательством.</w:t>
      </w:r>
    </w:p>
    <w:p w:rsidR="00610201" w:rsidRPr="00610201" w:rsidRDefault="00610201" w:rsidP="00610201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D76B87" w:rsidRPr="00D76B87" w:rsidRDefault="00D76B87" w:rsidP="00D76B87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  <w:r>
        <w:rPr>
          <w:rFonts w:ascii="Arial" w:hAnsi="Arial" w:cs="Arial"/>
          <w:color w:val="1C1C1C"/>
        </w:rPr>
        <w:t>7.</w:t>
      </w:r>
      <w:r w:rsidRPr="00D76B87">
        <w:rPr>
          <w:color w:val="2B2B2B"/>
          <w:sz w:val="21"/>
          <w:szCs w:val="21"/>
        </w:rPr>
        <w:t xml:space="preserve"> </w:t>
      </w:r>
      <w:r>
        <w:rPr>
          <w:color w:val="2B2B2B"/>
          <w:sz w:val="21"/>
          <w:szCs w:val="21"/>
        </w:rPr>
        <w:t xml:space="preserve"> </w:t>
      </w:r>
      <w:r w:rsidRPr="00D76B87">
        <w:rPr>
          <w:color w:val="2B2B2B"/>
          <w:sz w:val="21"/>
          <w:szCs w:val="21"/>
        </w:rPr>
        <w:t>Необходимо ли в заявлении о выдаче судебного приказа о взыскании алиментов на содержание несовершеннолетнего ребенка указывать данные документа, удостоверяю</w:t>
      </w:r>
      <w:r>
        <w:rPr>
          <w:color w:val="2B2B2B"/>
          <w:sz w:val="21"/>
          <w:szCs w:val="21"/>
        </w:rPr>
        <w:t>щего личность должника.</w:t>
      </w:r>
    </w:p>
    <w:p w:rsidR="00D76B87" w:rsidRPr="00D76B87" w:rsidRDefault="00D76B87" w:rsidP="00D76B87">
      <w:pPr>
        <w:spacing w:after="0"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D76B87" w:rsidRDefault="00D76B87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Указанный вопрос регламентирован ст. ст. 124-125 ГПК РФ, изложенными в новой редакции со дня начала деятельности кассационных судов общей юрисдикции и апелляционных судов общей юрисдикции – 01.10.2019.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Согласно ч.2 ст.124 ГПК РФ в заявлении о вынесении судебного приказа должны быть указаны следующие сведения: наименование суда, в который подается заявление; наименование взыскателя, его место жительства или место нахождения; сведения о должнике; требование взыскателя и обстоятельства, на которых оно основано; документы, подтверждающие обоснованность требования взыскателя; перечень прилагаемых документов. В случае истребования движимого имущества в заявлении должна быть указана стоимость этого имущества.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proofErr w:type="gramStart"/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При этом сведения о должнике включают в себя: для гражданина-должника – фамилия, имя, отчество (при наличии) и место жительства, а также дата и место рождения, место работы (если они известны) и один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основной государственный регистрационный номер индивидуального предпринимателя, серия и номер водительского </w:t>
      </w: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lastRenderedPageBreak/>
        <w:t>удостоверения, серия и</w:t>
      </w:r>
      <w:proofErr w:type="gramEnd"/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номер свидетельства о регистрации транспортного средства), для организации-должника – наименование и адрес, а также идентификационный номер налогоплательщика и основной государственный регистрационный номер, если они известны.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При этом в заявлении гражданина-взыскателя один из идентификаторов гражданина-должника указывается, если он известен гражданину-взыскателю.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D76B8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В силу пп.3 ч.1 ст.125 ГПК РФ несоблюдение требований к форме и содержанию заявления о вынесении судебного приказа является основанием для возвращения заявления о вынесении судебного приказа.</w:t>
      </w:r>
    </w:p>
    <w:p w:rsidR="00726447" w:rsidRDefault="00726447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726447" w:rsidRPr="00726447" w:rsidRDefault="00726447" w:rsidP="00726447">
      <w:pPr>
        <w:pStyle w:val="a3"/>
        <w:spacing w:before="0" w:beforeAutospacing="0" w:after="0" w:afterAutospacing="0" w:line="270" w:lineRule="atLeast"/>
        <w:ind w:firstLine="300"/>
        <w:jc w:val="both"/>
        <w:rPr>
          <w:color w:val="2B2B2B"/>
          <w:sz w:val="21"/>
          <w:szCs w:val="21"/>
        </w:rPr>
      </w:pPr>
      <w:r>
        <w:rPr>
          <w:color w:val="2B2B2B"/>
          <w:sz w:val="21"/>
          <w:szCs w:val="21"/>
        </w:rPr>
        <w:t>8.</w:t>
      </w:r>
      <w:r w:rsidRPr="00726447">
        <w:rPr>
          <w:color w:val="2B2B2B"/>
          <w:sz w:val="21"/>
          <w:szCs w:val="21"/>
        </w:rPr>
        <w:t xml:space="preserve"> </w:t>
      </w:r>
      <w:r>
        <w:rPr>
          <w:color w:val="2B2B2B"/>
          <w:sz w:val="21"/>
          <w:szCs w:val="21"/>
        </w:rPr>
        <w:t xml:space="preserve"> П</w:t>
      </w:r>
      <w:r w:rsidRPr="00726447">
        <w:rPr>
          <w:color w:val="2B2B2B"/>
          <w:sz w:val="21"/>
          <w:szCs w:val="21"/>
        </w:rPr>
        <w:t>орядок и особенности рассмотрения судами административных исковых заявлений о признании информации, размещенной в информационно-телекоммуникационных сетях, в том числе в сети «Интернет», запрещенной к распространению на те</w:t>
      </w:r>
      <w:r>
        <w:rPr>
          <w:color w:val="2B2B2B"/>
          <w:sz w:val="21"/>
          <w:szCs w:val="21"/>
        </w:rPr>
        <w:t>рритории Российской Федерации.</w:t>
      </w:r>
    </w:p>
    <w:p w:rsidR="00726447" w:rsidRPr="00726447" w:rsidRDefault="00726447" w:rsidP="00726447">
      <w:pPr>
        <w:spacing w:after="0"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> </w:t>
      </w:r>
    </w:p>
    <w:p w:rsidR="00726447" w:rsidRPr="00726447" w:rsidRDefault="00726447" w:rsidP="0072644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Указанный вопрос регламентирован главой 27.1 КАС РФ, вступившей в законную силу 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01.10.2019.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Согласно ст.265.1 КАС РФ с административным исковым заявлением о признании информации, размещенной в информационно-телекоммуникационных сетях, в том числе в сети «Интернет», информацией, распространение которой в Российской Федерации запрещено, вправе обратиться прокурор, иные лица, которым такое право предоставлено законодательством Российской Федерации об информации, информационных технологиях и о защите информации. Подобные административные исковые заявления предъявляются в районный суд по месту нахождения административного истца либо по месту нахождения или жительства административного ответчика.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В соответствии с ч.4 ст.265.2 КАС РФ суд возвращает административное исковое заявление о признании информации запрещенной в случае, если административным истцом не соблюден предусмотренный законом досудебный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порядок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.П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ри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этом форма и содержание административного искового заявления должны отвечать требованиям, указанным в ч.2 ст.265.2 КАС РФ, с учетом положений ч.ч.1, 2, 8, 9 ст.125 КАС РФ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.В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силу ч.2 ст.265.3 КАС РФ к участию в рассмотрении административного дела по заявлениям указанной категории в качестве заинтересованного лица привлекается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В случае установления лица, действия которого послужили поводом для подачи административного искового 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заявления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о признании информации запрещенной, суд согласно ч.1 ст.265.3 КАС РФ привлекает его к участию в деле в качестве административного ответчика.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Таким образом, Управление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Роскомнадзора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по субъекту Российской Федерации не является надлежащим ответчиком по административным делам указанной категории и привлекается только в качестве заинтересованного лица.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В соответствии с п.2 ч.5 ст.15.1 Федерального закона от 27.07.2006 №149-ФЗ «Об информации, информационных технологиях и о защите информации» решение суда о признании информации, распространяемой посредством сети Интернет, запрещенной к распространению на территории Российской Федерации является основанием для включения в Реестр сведений о соответствующих доменных именах и (или) указателях страниц сайтов, а также сетевых адресов, позволяющих идентифицировать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сайты в сети Интернет.</w:t>
      </w:r>
    </w:p>
    <w:p w:rsidR="00726447" w:rsidRPr="00D76B87" w:rsidRDefault="00726447" w:rsidP="00D76B8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726447" w:rsidRPr="00726447" w:rsidRDefault="00726447" w:rsidP="00726447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  <w:r>
        <w:rPr>
          <w:rFonts w:ascii="Arial" w:hAnsi="Arial" w:cs="Arial"/>
          <w:color w:val="1C1C1C"/>
        </w:rPr>
        <w:t>9.</w:t>
      </w:r>
      <w:r w:rsidRPr="00726447">
        <w:rPr>
          <w:color w:val="2B2B2B"/>
          <w:sz w:val="21"/>
          <w:szCs w:val="21"/>
        </w:rPr>
        <w:t xml:space="preserve"> </w:t>
      </w:r>
      <w:r>
        <w:rPr>
          <w:color w:val="2B2B2B"/>
          <w:sz w:val="21"/>
          <w:szCs w:val="21"/>
        </w:rPr>
        <w:t xml:space="preserve">  В</w:t>
      </w:r>
      <w:r w:rsidRPr="00726447">
        <w:rPr>
          <w:color w:val="2B2B2B"/>
          <w:sz w:val="21"/>
          <w:szCs w:val="21"/>
        </w:rPr>
        <w:t>опросы судебного примирения</w:t>
      </w:r>
      <w:r>
        <w:rPr>
          <w:color w:val="2B2B2B"/>
          <w:sz w:val="21"/>
          <w:szCs w:val="21"/>
        </w:rPr>
        <w:t>.</w:t>
      </w:r>
    </w:p>
    <w:p w:rsidR="00726447" w:rsidRPr="00726447" w:rsidRDefault="00726447" w:rsidP="00726447">
      <w:pPr>
        <w:spacing w:after="0"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726447" w:rsidRPr="00726447" w:rsidRDefault="00726447" w:rsidP="0072644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Постановлением Пленума Верховного Суда Российской Федерации от 31.10.2019 №41 утвержден Регламент проведения судебного примирения.</w:t>
      </w:r>
      <w:r w:rsidR="00CE06C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Судебное примирение проводится в форме переговоров с целью достижения сторонами взаимоприемлемого результата и решения конфликта.</w:t>
      </w:r>
      <w:r w:rsidR="00CE06C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Данная процедура возможна на любой стадии судебного процесса и при исполнении судебного акта, если иное не предусмотрено законом.</w:t>
      </w:r>
      <w:r w:rsidR="00CE06C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Судебное примирение возможно по ходатайству одной из сторон либо по инициативе суда при согласии сторон.</w:t>
      </w:r>
      <w:r w:rsidR="00CE06C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О проведении процедуры судебного примирения судом выносится соответствующее определение.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Регламентом определены права и обязанности сторон судебного примирения и судебных примирителей, порядок назначения последних и их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функции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.С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удебным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примирителем может быть судья в отставке, который включен в список судебных примирителей, утвержденный Пленумом Верховного Суда Российской Федерации, не привлечен к осуществлению правосудия и не работает в органах государственной власти.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По нескольким взаимосвязанным спорам, в которых участвуют одни и те же стороны, при их согласии, суд может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lastRenderedPageBreak/>
        <w:t>назначить одного и того же судебного примирителя.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В зависимости от результатов судебного примирения заключаются мировое соглашение, соглашение о примирении или соглашение по фактическим обстоятельствам. Если примирение сторонами не достигнуто, либо истек срок проведения процедуры, установленный судом, то примиритель письменно информирует об этом суд в возможно короткий срок.</w:t>
      </w:r>
      <w:r w:rsidR="00CE06C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Кроме того, судебный примиритель вправе самостоятельно, до истечения срока процедуры, прекратить судебное примирение, если в ходе его проведения сочтет, что дальнейшее проведение судебного примирения нецелесообразно, о чем он обязан направить в суд мотивированный письменный отказ от проведения судебного примирения в срок не позднее следующего дня.</w:t>
      </w:r>
    </w:p>
    <w:p w:rsidR="00610201" w:rsidRDefault="00610201" w:rsidP="00D63532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rFonts w:ascii="Arial" w:hAnsi="Arial" w:cs="Arial"/>
          <w:color w:val="1C1C1C"/>
        </w:rPr>
      </w:pPr>
    </w:p>
    <w:p w:rsidR="00726447" w:rsidRPr="00726447" w:rsidRDefault="00726447" w:rsidP="00726447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  <w:r>
        <w:rPr>
          <w:rFonts w:ascii="Arial" w:hAnsi="Arial" w:cs="Arial"/>
          <w:color w:val="1C1C1C"/>
        </w:rPr>
        <w:t>10.</w:t>
      </w:r>
      <w:r w:rsidRPr="00726447">
        <w:rPr>
          <w:color w:val="2B2B2B"/>
          <w:sz w:val="21"/>
          <w:szCs w:val="21"/>
        </w:rPr>
        <w:t xml:space="preserve"> </w:t>
      </w:r>
      <w:r>
        <w:rPr>
          <w:color w:val="2B2B2B"/>
          <w:sz w:val="21"/>
          <w:szCs w:val="21"/>
        </w:rPr>
        <w:t xml:space="preserve"> П</w:t>
      </w:r>
      <w:r w:rsidRPr="00726447">
        <w:rPr>
          <w:color w:val="2B2B2B"/>
          <w:sz w:val="21"/>
          <w:szCs w:val="21"/>
        </w:rPr>
        <w:t xml:space="preserve">орядок </w:t>
      </w:r>
      <w:r>
        <w:rPr>
          <w:color w:val="2B2B2B"/>
          <w:sz w:val="21"/>
          <w:szCs w:val="21"/>
        </w:rPr>
        <w:t>подачи искового заявления в суд.</w:t>
      </w:r>
    </w:p>
    <w:p w:rsidR="00726447" w:rsidRPr="00726447" w:rsidRDefault="00726447" w:rsidP="00726447">
      <w:pPr>
        <w:spacing w:after="0"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726447" w:rsidRPr="00726447" w:rsidRDefault="00726447" w:rsidP="0072644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В соответствии с п.2 ч.2 ст.131 ГПК РФ (в редакции Федерального закона от 20.11.2018 №451-ФЗ) с 01.10.2019 в исковом заявлении, если истцом является организация, необходимо указывать не место нахождения последней, а ее адрес.</w:t>
      </w:r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Федеральным законом от 20.11.2018 №451-ФЗ изменен также предусмотренный ст.132 ГПК РФ перечень документов, прилагаемых к исковому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заявлению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.В</w:t>
      </w:r>
      <w:proofErr w:type="spellEnd"/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настоящее время к нему, в частности, необходимо прикладывать:</w:t>
      </w:r>
    </w:p>
    <w:p w:rsidR="00726447" w:rsidRPr="00726447" w:rsidRDefault="00726447" w:rsidP="00726447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1) документ, подтверждающий уплату государственной пошлины в 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установленных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порядке и размере 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пошлины;2) доверенность или иной документ, удостоверяющие полномочия представителя истца;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3) документы, подтверждающие выполнение обязательного досудебного порядка урегулирования спора, если такой порядок установлен федеральным законом;4) 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отсутствуют;5) расчет взыскиваемой или оспариваемой денежной суммы, подписанный истцом, его представителем, с копиями в соответствии с количеством ответчиков и третьих лиц;6)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отсутствуют, в том числе в случае подачи в суд искового заявления и приложенных к нему документов посредством заполнения формы, размещенной на официальном сайте соответствующего суда в сети «Интернет».</w:t>
      </w:r>
      <w:proofErr w:type="gramEnd"/>
      <w:r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Кроме того, согласно новой редакции п.3 ч.2 ст.131 ГПК РФ с 30.03.2019 в исковом заявлении необходимо будет указывать следующие сведения об ответчике: для гражданина: фамилия, имя, отчество (при наличии) и место жительства, а также дата и место рождения, место работы (в случае если они известны) и один из идентификаторов (страховой номер индивидуального лицевого счета, идентификационный номер налогоплательщика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, серия и номер документа, удостоверяющего личность, основной государственный регистрационный номер индивидуального предпринимателя, серия и номер водительского удостоверения, серия и номер свидетельства о регистрации транспортного средства);  для организации: наименование и адрес, а также, если они известны, идентификационный номер налогоплательщика и основной государственный регистрационный номер.</w:t>
      </w:r>
    </w:p>
    <w:p w:rsidR="00610201" w:rsidRDefault="00610201" w:rsidP="00D63532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rFonts w:ascii="Arial" w:hAnsi="Arial" w:cs="Arial"/>
          <w:color w:val="1C1C1C"/>
        </w:rPr>
      </w:pPr>
    </w:p>
    <w:p w:rsidR="00726447" w:rsidRPr="00726447" w:rsidRDefault="00726447" w:rsidP="00726447">
      <w:pPr>
        <w:pStyle w:val="a3"/>
        <w:spacing w:before="0" w:beforeAutospacing="0" w:after="0" w:afterAutospacing="0" w:line="270" w:lineRule="atLeast"/>
        <w:ind w:firstLine="300"/>
        <w:rPr>
          <w:color w:val="2B2B2B"/>
          <w:sz w:val="21"/>
          <w:szCs w:val="21"/>
        </w:rPr>
      </w:pPr>
      <w:r>
        <w:rPr>
          <w:rFonts w:ascii="Arial" w:hAnsi="Arial" w:cs="Arial"/>
          <w:color w:val="1C1C1C"/>
        </w:rPr>
        <w:t>11.</w:t>
      </w:r>
      <w:r w:rsidRPr="00726447">
        <w:rPr>
          <w:color w:val="2B2B2B"/>
          <w:sz w:val="21"/>
          <w:szCs w:val="21"/>
        </w:rPr>
        <w:t xml:space="preserve"> </w:t>
      </w:r>
      <w:r>
        <w:rPr>
          <w:color w:val="2B2B2B"/>
          <w:sz w:val="21"/>
          <w:szCs w:val="21"/>
        </w:rPr>
        <w:t xml:space="preserve"> </w:t>
      </w:r>
      <w:r w:rsidRPr="00726447">
        <w:rPr>
          <w:color w:val="2B2B2B"/>
          <w:sz w:val="21"/>
          <w:szCs w:val="21"/>
        </w:rPr>
        <w:t xml:space="preserve"> Предусмотрена ли </w:t>
      </w:r>
      <w:r>
        <w:rPr>
          <w:color w:val="2B2B2B"/>
          <w:sz w:val="21"/>
          <w:szCs w:val="21"/>
        </w:rPr>
        <w:t xml:space="preserve"> </w:t>
      </w:r>
      <w:r w:rsidRPr="00726447">
        <w:rPr>
          <w:color w:val="2B2B2B"/>
          <w:sz w:val="21"/>
          <w:szCs w:val="21"/>
        </w:rPr>
        <w:t xml:space="preserve"> законодательством какая-либо ответственность за </w:t>
      </w:r>
      <w:r>
        <w:rPr>
          <w:color w:val="2B2B2B"/>
          <w:sz w:val="21"/>
          <w:szCs w:val="21"/>
        </w:rPr>
        <w:t xml:space="preserve"> реабилитацию нацизма.</w:t>
      </w:r>
    </w:p>
    <w:p w:rsidR="00726447" w:rsidRPr="00726447" w:rsidRDefault="00726447" w:rsidP="00726447">
      <w:pPr>
        <w:spacing w:after="0" w:line="270" w:lineRule="atLeast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726447" w:rsidRPr="00726447" w:rsidRDefault="00726447" w:rsidP="00726447">
      <w:pPr>
        <w:spacing w:after="0" w:line="270" w:lineRule="atLeast"/>
        <w:ind w:firstLine="300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За реабилитацию нацизма статьей 354.1 УК РФ установлена уголовная ответственность.</w:t>
      </w:r>
    </w:p>
    <w:p w:rsidR="00726447" w:rsidRPr="00726447" w:rsidRDefault="00726447" w:rsidP="00B15223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Такая ответственность наступает в случае отрицания фактов, установленных приговором Международного военного трибунала для суда и наказания главных военных преступников европейских стран оси, одобрения преступлений, установленных указанным приговором, а равно распространения заведомо ложных сведений о деятельности СССР в годы Второй мировой войны, совершенные публично.</w:t>
      </w:r>
      <w:r w:rsidR="00CE06C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Указанные действия наказываются штрафом в размере до трехсот тысяч рублей или в размере заработной платы или иного дохода осужденного за период до двух лет, либо принудительными работами на срок до трех лет, либо лишением свободы на тот же </w:t>
      </w:r>
      <w:proofErr w:type="spell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срок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.П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од</w:t>
      </w:r>
      <w:proofErr w:type="spell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отрицанием фактов, установленных приговором Международного военного трибунала для суда и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lastRenderedPageBreak/>
        <w:t xml:space="preserve">наказания главных военных преступников европейских стран оси, понимается заявление, сообщение 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неопределенному кругу лиц о непризнании существования таких фактов, отречение от них, исключение наличия, опровержение решений международного Нюрнбергского военного трибунала, процесса, проходившего с 20.11.1945 по 01.10.1946 в германском городе Нюрнберге над военными преступниками, бывшими руководителями фашисткой Германии и стран гитлеровской коалиции, нацистской партии, преступных организаций гестапо, СД, СС, совершившими преступления против мира и человечности во время Второй мировой войны, признанных виновными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и осужденных к смертной казни или другим наказаниям.</w:t>
      </w:r>
      <w:r w:rsidR="00B15223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Под одобрением преступлений, установленных этим приговором, понимается заявление, сообщение неопределенному кругу лиц о признании допустимости совершенных нацистами международно-правовых преступлений в годы Второй мировой войны, об их оправдании, одобрении, правильности, заслуживающими поддержки и похвалы, и т.п.</w:t>
      </w:r>
      <w:r w:rsidR="00CE06CE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 xml:space="preserve"> </w:t>
      </w:r>
      <w:proofErr w:type="gramStart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Под распространение заведомо ложных сведений о деятельности СССР в годы Второй мировой войны, совершенных публично, понимаются заявления, сообщения неопределенному кругу лиц не соответствующей действительности информации о деятельности СССР в годы Второй мировой войны, неправильное изложение исторических фактов о решающей и существенной роли СССР в победе над фашизмом, их искажение или умолчание о них, сообщения о не имеющих места в действительности</w:t>
      </w:r>
      <w:proofErr w:type="gramEnd"/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, якобы совершенных самим СССР военных преступлениях во время этой войны, и т.п.</w:t>
      </w:r>
    </w:p>
    <w:p w:rsidR="00726447" w:rsidRDefault="00726447" w:rsidP="00B15223">
      <w:pPr>
        <w:spacing w:after="0" w:line="270" w:lineRule="atLeast"/>
        <w:ind w:firstLine="300"/>
        <w:rPr>
          <w:rFonts w:ascii="Arial" w:hAnsi="Arial" w:cs="Arial"/>
          <w:color w:val="1C1C1C"/>
        </w:rPr>
      </w:pPr>
      <w:r w:rsidRPr="00726447"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  <w:t> </w:t>
      </w:r>
    </w:p>
    <w:p w:rsidR="00120996" w:rsidRPr="00316B51" w:rsidRDefault="00EA2266" w:rsidP="00D63532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color w:val="1C1C1C"/>
        </w:rPr>
        <w:br/>
      </w:r>
      <w:r w:rsidR="00120996" w:rsidRPr="00316B51">
        <w:rPr>
          <w:sz w:val="28"/>
          <w:szCs w:val="28"/>
        </w:rPr>
        <w:t>Прокур</w:t>
      </w:r>
      <w:r w:rsidR="00E64A3F">
        <w:rPr>
          <w:sz w:val="28"/>
          <w:szCs w:val="28"/>
        </w:rPr>
        <w:t xml:space="preserve">атура </w:t>
      </w:r>
      <w:proofErr w:type="spellStart"/>
      <w:r w:rsidR="00E64A3F">
        <w:rPr>
          <w:sz w:val="28"/>
          <w:szCs w:val="28"/>
        </w:rPr>
        <w:t>Ермекеевского</w:t>
      </w:r>
      <w:proofErr w:type="spellEnd"/>
      <w:r w:rsidR="00E64A3F">
        <w:rPr>
          <w:sz w:val="28"/>
          <w:szCs w:val="28"/>
        </w:rPr>
        <w:t xml:space="preserve"> </w:t>
      </w:r>
      <w:r w:rsidR="00120996" w:rsidRPr="00316B51">
        <w:rPr>
          <w:sz w:val="28"/>
          <w:szCs w:val="28"/>
        </w:rPr>
        <w:t xml:space="preserve"> р-на   </w:t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2C7011">
        <w:rPr>
          <w:sz w:val="28"/>
          <w:szCs w:val="28"/>
        </w:rPr>
        <w:tab/>
      </w:r>
      <w:r w:rsidR="00E64A3F">
        <w:rPr>
          <w:sz w:val="28"/>
          <w:szCs w:val="28"/>
        </w:rPr>
        <w:t xml:space="preserve"> </w:t>
      </w:r>
    </w:p>
    <w:p w:rsidR="00120996" w:rsidRPr="00316B51" w:rsidRDefault="00120996" w:rsidP="00DE76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96" w:rsidRPr="00316B51" w:rsidRDefault="008C1ACD" w:rsidP="00DE76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120996" w:rsidRPr="00316B5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0996" w:rsidRPr="00316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70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90C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316B51" w:rsidRPr="00316B51" w:rsidRDefault="00316B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6B51" w:rsidRPr="0031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3341"/>
    <w:multiLevelType w:val="multilevel"/>
    <w:tmpl w:val="EC78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E34D6"/>
    <w:multiLevelType w:val="hybridMultilevel"/>
    <w:tmpl w:val="0874BF2C"/>
    <w:lvl w:ilvl="0" w:tplc="6512BF9A">
      <w:start w:val="1"/>
      <w:numFmt w:val="decimal"/>
      <w:lvlText w:val="%1."/>
      <w:lvlJc w:val="left"/>
      <w:pPr>
        <w:ind w:left="907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142812"/>
    <w:multiLevelType w:val="hybridMultilevel"/>
    <w:tmpl w:val="2408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A3A81"/>
    <w:multiLevelType w:val="multilevel"/>
    <w:tmpl w:val="663E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83B6D"/>
    <w:multiLevelType w:val="multilevel"/>
    <w:tmpl w:val="F7CE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7311B1"/>
    <w:multiLevelType w:val="multilevel"/>
    <w:tmpl w:val="E71A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40"/>
    <w:rsid w:val="00120996"/>
    <w:rsid w:val="0013451C"/>
    <w:rsid w:val="001C4551"/>
    <w:rsid w:val="002C4078"/>
    <w:rsid w:val="002C7011"/>
    <w:rsid w:val="00316B51"/>
    <w:rsid w:val="00325401"/>
    <w:rsid w:val="003F0204"/>
    <w:rsid w:val="005C1098"/>
    <w:rsid w:val="005D20DE"/>
    <w:rsid w:val="005E28A5"/>
    <w:rsid w:val="005F6ED9"/>
    <w:rsid w:val="00610201"/>
    <w:rsid w:val="00611147"/>
    <w:rsid w:val="00634F36"/>
    <w:rsid w:val="00667328"/>
    <w:rsid w:val="006A0DE8"/>
    <w:rsid w:val="006E20AF"/>
    <w:rsid w:val="00726447"/>
    <w:rsid w:val="007631D8"/>
    <w:rsid w:val="0076457F"/>
    <w:rsid w:val="008433D4"/>
    <w:rsid w:val="00844017"/>
    <w:rsid w:val="00887237"/>
    <w:rsid w:val="00890CA5"/>
    <w:rsid w:val="00895552"/>
    <w:rsid w:val="008C032A"/>
    <w:rsid w:val="008C1ACD"/>
    <w:rsid w:val="008D41F6"/>
    <w:rsid w:val="00A413CA"/>
    <w:rsid w:val="00AB120F"/>
    <w:rsid w:val="00AE32A1"/>
    <w:rsid w:val="00B15223"/>
    <w:rsid w:val="00B22874"/>
    <w:rsid w:val="00B51B2D"/>
    <w:rsid w:val="00B62D34"/>
    <w:rsid w:val="00B84C98"/>
    <w:rsid w:val="00B9543D"/>
    <w:rsid w:val="00CE06CE"/>
    <w:rsid w:val="00CF5204"/>
    <w:rsid w:val="00D0259F"/>
    <w:rsid w:val="00D06A90"/>
    <w:rsid w:val="00D14E00"/>
    <w:rsid w:val="00D63532"/>
    <w:rsid w:val="00D7211C"/>
    <w:rsid w:val="00D76B87"/>
    <w:rsid w:val="00DE7608"/>
    <w:rsid w:val="00DF04FF"/>
    <w:rsid w:val="00DF4526"/>
    <w:rsid w:val="00E64A3F"/>
    <w:rsid w:val="00E64D1A"/>
    <w:rsid w:val="00EA2266"/>
    <w:rsid w:val="00EA690F"/>
    <w:rsid w:val="00FF0640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B51B2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51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6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1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2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B51B2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51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6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1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2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29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68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11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34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602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18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2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3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5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4848&amp;date=12.03.2020&amp;dst=769&amp;fld=13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44848&amp;date=12.03.2020&amp;dst=742&amp;fld=134" TargetMode="External"/><Relationship Id="rId12" Type="http://schemas.openxmlformats.org/officeDocument/2006/relationships/hyperlink" Target="consultantplus://offline/ref=556F33B6F03A1F9FB0AD2BA8FB08FD24B53246E789039DFC8D18EBB9FD8F22D78101DB124DBB332D54CCF442ODP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01417&amp;date=12.03.2020&amp;dst=100232&amp;fld=134" TargetMode="External"/><Relationship Id="rId11" Type="http://schemas.openxmlformats.org/officeDocument/2006/relationships/hyperlink" Target="consultantplus://offline/ref=6B09E1E7F4F74BBE2F668D1E816BDB1CF0BB26E7C836A36B4E919431AEDCA148667B3B73F24BAA726D5FDCAC902BAD99D2B5B3529818770Bj8SC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09E1E7F4F74BBE2F668D1E816BDB1CF0BB26E7C836A36B4E919431AEDCA148667B3B73F24BAA7F6D5FDCAC902BAD99D2B5B3529818770Bj8SC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44848&amp;date=12.03.2020&amp;dst=776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3456</Words>
  <Characters>19703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НижнеулуЕлга</cp:lastModifiedBy>
  <cp:revision>12</cp:revision>
  <dcterms:created xsi:type="dcterms:W3CDTF">2020-06-04T06:14:00Z</dcterms:created>
  <dcterms:modified xsi:type="dcterms:W3CDTF">2020-06-04T06:59:00Z</dcterms:modified>
</cp:coreProperties>
</file>