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1" w:rsidRPr="008004E1" w:rsidRDefault="008004E1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8004E1" w:rsidRPr="008004E1" w:rsidRDefault="008004E1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8004E1" w:rsidRPr="008004E1" w:rsidRDefault="008004E1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8004E1" w:rsidRPr="008004E1" w:rsidRDefault="008004E1" w:rsidP="008004E1">
      <w:pPr>
        <w:widowControl w:val="0"/>
        <w:spacing w:after="0" w:line="14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Calibri" w:eastAsia="Arial Unicode MS" w:hAnsi="Calibri" w:cs="Arial Unicode MS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ge">
              <wp:posOffset>967740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6793865</wp:posOffset>
                </wp:positionV>
                <wp:extent cx="92075" cy="228600"/>
                <wp:effectExtent l="0" t="4445" r="444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E1" w:rsidRDefault="008004E1" w:rsidP="008004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4.5pt;margin-top:534.95pt;width:7.25pt;height:18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" filled="f" stroked="f">
                <v:textbox inset="0,0,0,0">
                  <w:txbxContent>
                    <w:p w:rsidR="008004E1" w:rsidRDefault="008004E1" w:rsidP="008004E1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004E1" w:rsidRPr="008004E1" w:rsidRDefault="008004E1" w:rsidP="008004E1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Башĸортостан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Республиĸа</w:t>
      </w:r>
      <w:proofErr w:type="gram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h</w:t>
      </w:r>
      <w:proofErr w:type="gram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ы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                                  Республика Башкортостан       </w:t>
      </w:r>
    </w:p>
    <w:p w:rsidR="008004E1" w:rsidRPr="008004E1" w:rsidRDefault="008004E1" w:rsidP="008004E1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Й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ə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рм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ə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ĸ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ə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й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районы                                                               Администрация  </w:t>
      </w:r>
      <w:proofErr w:type="gram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сельского</w:t>
      </w:r>
      <w:proofErr w:type="gram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</w:t>
      </w:r>
    </w:p>
    <w:p w:rsidR="008004E1" w:rsidRPr="008004E1" w:rsidRDefault="008004E1" w:rsidP="008004E1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муниципаль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районыны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ң</w:t>
      </w:r>
      <w:proofErr w:type="spellEnd"/>
      <w:r w:rsidRPr="008004E1">
        <w:rPr>
          <w:rFonts w:ascii="Lucida Sans Unicode" w:eastAsia="Arial Unicode MS" w:hAnsi="Lucida Sans Unicode" w:cs="Arial Unicode MS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поселения Суккуловский     </w:t>
      </w:r>
    </w:p>
    <w:p w:rsidR="008004E1" w:rsidRPr="008004E1" w:rsidRDefault="008004E1" w:rsidP="008004E1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004E1">
        <w:rPr>
          <w:rFonts w:ascii="Tahoma" w:eastAsia="Arial Unicode MS" w:hAnsi="Tahoma" w:cs="Tahoma"/>
          <w:b/>
          <w:bCs/>
          <w:color w:val="000000"/>
          <w:sz w:val="24"/>
          <w:szCs w:val="24"/>
          <w:lang w:eastAsia="ru-RU"/>
        </w:rPr>
        <w:t>Һ</w:t>
      </w:r>
      <w:r w:rsidRPr="008004E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ыуы</w:t>
      </w:r>
      <w:proofErr w:type="gramStart"/>
      <w:r w:rsidRPr="008004E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kk</w:t>
      </w:r>
      <w:proofErr w:type="gramEnd"/>
      <w:r w:rsidRPr="008004E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ул</w:t>
      </w:r>
      <w:proofErr w:type="spellEnd"/>
      <w:r w:rsidRPr="008004E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ауыл</w:t>
      </w:r>
      <w:proofErr w:type="spellEnd"/>
      <w:r w:rsidRPr="008004E1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советы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сельсовет муниципального</w:t>
      </w:r>
    </w:p>
    <w:p w:rsidR="008004E1" w:rsidRPr="008004E1" w:rsidRDefault="008004E1" w:rsidP="008004E1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авыл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бил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ə</w:t>
      </w:r>
      <w:proofErr w:type="gram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</w:t>
      </w:r>
      <w:proofErr w:type="gramEnd"/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ə</w:t>
      </w:r>
      <w:r w:rsidRPr="008004E1">
        <w:rPr>
          <w:rFonts w:ascii="Lucida Sans Unicode" w:eastAsia="Arial Unicode MS" w:hAnsi="Lucida Sans Unicode" w:cs="Arial Unicode MS"/>
          <w:b/>
          <w:color w:val="000000"/>
          <w:sz w:val="24"/>
          <w:szCs w:val="24"/>
          <w:lang w:eastAsia="ru-RU"/>
        </w:rPr>
        <w:t>h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е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хакими</w:t>
      </w:r>
      <w:r w:rsidRPr="008004E1">
        <w:rPr>
          <w:rFonts w:ascii="Tahoma" w:eastAsia="Arial Unicode MS" w:hAnsi="Tahoma" w:cs="Tahoma"/>
          <w:b/>
          <w:color w:val="000000"/>
          <w:sz w:val="24"/>
          <w:szCs w:val="24"/>
          <w:lang w:eastAsia="ru-RU"/>
        </w:rPr>
        <w:t>ә</w:t>
      </w: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те</w:t>
      </w:r>
      <w:proofErr w:type="spellEnd"/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                                        района Ермекеевский район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8004E1" w:rsidRPr="008004E1" w:rsidRDefault="008004E1" w:rsidP="008004E1">
      <w:pPr>
        <w:widowControl w:val="0"/>
        <w:spacing w:after="0" w:line="240" w:lineRule="auto"/>
        <w:ind w:left="-18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452194, </w:t>
      </w:r>
      <w:proofErr w:type="spellStart"/>
      <w:r w:rsidRPr="008004E1">
        <w:rPr>
          <w:rFonts w:ascii="Tahoma" w:eastAsia="Arial Unicode MS" w:hAnsi="Tahoma" w:cs="Tahoma"/>
          <w:color w:val="000000"/>
          <w:sz w:val="24"/>
          <w:szCs w:val="24"/>
          <w:lang w:eastAsia="ru-RU"/>
        </w:rPr>
        <w:t>Һ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ыуыккул</w:t>
      </w:r>
      <w:proofErr w:type="spellEnd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а, </w:t>
      </w:r>
      <w:proofErr w:type="spell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</w:t>
      </w:r>
      <w:r w:rsidRPr="008004E1">
        <w:rPr>
          <w:rFonts w:ascii="Tahoma" w:eastAsia="Arial Unicode MS" w:hAnsi="Tahoma" w:cs="Tahoma"/>
          <w:color w:val="000000"/>
          <w:sz w:val="24"/>
          <w:szCs w:val="24"/>
          <w:lang w:eastAsia="ru-RU"/>
        </w:rPr>
        <w:t>ə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кт</w:t>
      </w:r>
      <w:r w:rsidRPr="008004E1">
        <w:rPr>
          <w:rFonts w:ascii="Tahoma" w:eastAsia="Arial Unicode MS" w:hAnsi="Tahoma" w:cs="Tahoma"/>
          <w:color w:val="000000"/>
          <w:sz w:val="24"/>
          <w:szCs w:val="24"/>
          <w:lang w:eastAsia="ru-RU"/>
        </w:rPr>
        <w:t>ə</w:t>
      </w:r>
      <w:proofErr w:type="gram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ур.5                                452194,с. Суккулово ,ул. Школьная,5</w:t>
      </w:r>
    </w:p>
    <w:p w:rsidR="008004E1" w:rsidRPr="008004E1" w:rsidRDefault="008004E1" w:rsidP="008004E1">
      <w:pPr>
        <w:widowControl w:val="0"/>
        <w:pBdr>
          <w:bottom w:val="single" w:sz="12" w:space="1" w:color="auto"/>
        </w:pBdr>
        <w:spacing w:after="0" w:line="240" w:lineRule="auto"/>
        <w:ind w:left="-18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тел. (34741)2-55-37, факс  2-55-37                                       тел. (34741)2-55-37, факс 2-55-37</w:t>
      </w:r>
    </w:p>
    <w:p w:rsidR="008004E1" w:rsidRPr="008004E1" w:rsidRDefault="008004E1" w:rsidP="008004E1">
      <w:pPr>
        <w:widowControl w:val="0"/>
        <w:pBdr>
          <w:bottom w:val="single" w:sz="12" w:space="1" w:color="auto"/>
        </w:pBdr>
        <w:spacing w:after="0" w:line="240" w:lineRule="auto"/>
        <w:ind w:left="-18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e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</w:t>
      </w:r>
      <w:proofErr w:type="gram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mail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:</w:t>
      </w:r>
      <w:proofErr w:type="gramEnd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ru-RU"/>
          </w:rPr>
          <w:t>sukkul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ru-RU"/>
          </w:rPr>
          <w:t>1_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ru-RU"/>
          </w:rPr>
          <w:t>ss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ru-RU"/>
          </w:rPr>
          <w:t>@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ru-RU"/>
          </w:rPr>
          <w:t>.</w:t>
        </w:r>
        <w:r w:rsidRPr="008004E1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e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mail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: </w:t>
      </w:r>
      <w:proofErr w:type="spell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sukkul</w:t>
      </w:r>
      <w:proofErr w:type="spellEnd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1_</w:t>
      </w:r>
      <w:proofErr w:type="spell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ss</w:t>
      </w:r>
      <w:proofErr w:type="spellEnd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@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mail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  <w:proofErr w:type="spellStart"/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ru</w:t>
      </w:r>
      <w:proofErr w:type="spellEnd"/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lang w:eastAsia="ru-RU" w:bidi="ru-RU"/>
        </w:rPr>
      </w:pPr>
      <w:r w:rsidRPr="008004E1">
        <w:rPr>
          <w:rFonts w:ascii="TimBashk" w:eastAsia="Arial Unicode MS" w:hAnsi="TimBashk" w:cs="TimBashk"/>
          <w:b/>
          <w:bCs/>
          <w:color w:val="000000"/>
          <w:sz w:val="40"/>
          <w:szCs w:val="40"/>
          <w:lang w:eastAsia="ru-RU" w:bidi="ru-RU"/>
        </w:rPr>
        <w:t xml:space="preserve">   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>КАРАР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  <w:t xml:space="preserve">    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ПОСТАНОВЛЕНИЕ</w:t>
      </w:r>
      <w:r w:rsidRPr="008004E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004E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</w:t>
      </w:r>
      <w:r w:rsidRPr="008004E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«19» июнь  2020 й.                                № 39                                 «19» июня 2020 г.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 утверждении целевой  муниципальной про</w:t>
      </w:r>
      <w:r w:rsidRPr="008004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softHyphen/>
        <w:t xml:space="preserve">граммы </w:t>
      </w:r>
      <w:r w:rsidRPr="008004E1">
        <w:rPr>
          <w:rFonts w:ascii="Arial Unicode MS" w:eastAsia="Arial Unicode MS" w:hAnsi="Arial Unicode MS" w:cs="Arial Unicode MS"/>
          <w:color w:val="000000"/>
          <w:spacing w:val="13"/>
          <w:sz w:val="24"/>
          <w:szCs w:val="24"/>
          <w:lang w:eastAsia="ru-RU" w:bidi="ru-RU"/>
        </w:rPr>
        <w:t xml:space="preserve"> </w:t>
      </w:r>
      <w:r w:rsidRPr="008004E1">
        <w:rPr>
          <w:rFonts w:ascii="Times New Roman" w:eastAsia="Arial Unicode MS" w:hAnsi="Times New Roman" w:cs="Times New Roman"/>
          <w:b/>
          <w:color w:val="000000"/>
          <w:spacing w:val="13"/>
          <w:sz w:val="24"/>
          <w:szCs w:val="24"/>
          <w:lang w:eastAsia="ru-RU" w:bidi="ru-RU"/>
        </w:rPr>
        <w:t xml:space="preserve">в  области энергосбережения и </w:t>
      </w:r>
      <w:r w:rsidRPr="008004E1">
        <w:rPr>
          <w:rFonts w:ascii="Times New Roman" w:eastAsia="Arial Unicode MS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повышения   энергетической   эффективности</w:t>
      </w:r>
      <w:r w:rsidRPr="008004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в сельском поселении Суккуловский сельсовет муниципального района Ермекеевский район Республики Башкортостан на 2020 – 2024 годы</w:t>
      </w:r>
    </w:p>
    <w:p w:rsidR="008004E1" w:rsidRPr="008004E1" w:rsidRDefault="008004E1" w:rsidP="008004E1">
      <w:pPr>
        <w:widowControl w:val="0"/>
        <w:tabs>
          <w:tab w:val="left" w:pos="1094"/>
        </w:tabs>
        <w:spacing w:after="0" w:line="326" w:lineRule="exac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8004E1" w:rsidRPr="008004E1" w:rsidRDefault="008004E1" w:rsidP="008004E1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ПОСТАНОВЛЯЮ: </w:t>
      </w:r>
    </w:p>
    <w:p w:rsidR="008004E1" w:rsidRPr="008004E1" w:rsidRDefault="008004E1" w:rsidP="008004E1">
      <w:pPr>
        <w:widowControl w:val="0"/>
        <w:numPr>
          <w:ilvl w:val="0"/>
          <w:numId w:val="1"/>
        </w:numPr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Признать утратившим силу постановление № 19 от 07.04.2017 года «Об утверждении муниципальной  программы «Энергосбережение и повышение энергетической эффективности на территории  сельского поселения  Суккуловский сельсовет муниципального района  Ермекеевский район Республики Башкортостан  на 2017 – 2020 гг.».</w:t>
      </w:r>
    </w:p>
    <w:p w:rsidR="008004E1" w:rsidRPr="008004E1" w:rsidRDefault="008004E1" w:rsidP="008004E1">
      <w:pPr>
        <w:widowControl w:val="0"/>
        <w:numPr>
          <w:ilvl w:val="0"/>
          <w:numId w:val="1"/>
        </w:numPr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Утвердить целевую муниципальную программу «Энергосбережение и повышение энергетической эффективности в сельском поселении Суккуловский сельсовет муниципального района Ермекеевский район Республики Башкортостан на 2020-2024 </w:t>
      </w: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гг.</w:t>
      </w: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004E1" w:rsidRPr="008004E1" w:rsidRDefault="008004E1" w:rsidP="008004E1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Установить, что в ходе реализации муниципальной программы  «Энергосбережение и повышение энергетической эффективности в сельском поселении Суккуловский сельсовет муниципального района Ермекеевский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5E031B" w:rsidRPr="008004E1" w:rsidRDefault="008004E1" w:rsidP="008004E1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Опубликовать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стенде в здании сельского пос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еления, на информационном  с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айте Администрации сельского поселения 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Суккуловский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сельсовет.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вступает в силу после его официального опубликова</w:t>
      </w: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8004E1" w:rsidRPr="008004E1" w:rsidRDefault="008004E1" w:rsidP="008004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8004E1" w:rsidRPr="008004E1" w:rsidRDefault="008004E1" w:rsidP="008004E1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80" w:lineRule="exact"/>
        <w:ind w:firstLine="708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Глава сельского поселения</w:t>
      </w:r>
      <w:r w:rsidRPr="008004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8004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8004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8004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Ф.Р. Галимов 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Суккуловский 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МР Ермекеевский район РБ</w:t>
      </w: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 19.06.2020 г. № 39</w:t>
      </w: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ЦЕЛЕВАЯ ПРОГРАММА</w:t>
      </w: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«Энергосбережение и повышение энергетической эффективности </w:t>
      </w: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сельском поселении </w:t>
      </w:r>
      <w:r w:rsidRPr="008004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сельсовет муниципального района Ермекеевский район Республики Башкортостан на 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2020-2024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годы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Паспорт долгосрочной целевой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406"/>
      </w:tblGrid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«Энергосбережение и повышение энергетической эффективности в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сельском поселении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Суккуловский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годы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 (далее – Программа)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2009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2008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поселения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Суккуловский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Задачи Программы: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энергоресурсо</w:t>
            </w:r>
            <w:proofErr w:type="spellEnd"/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c</w:t>
            </w:r>
            <w:proofErr w:type="spellStart"/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бережения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энергетических обследований;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внедрение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энергоэффективных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устройств (оборудования и технологий) в муниципальном учреждении;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уменьшение потребления энергии и связанных с этим затрат в среднем на 10% (по 2% в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году) по административному зданию;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годы. </w:t>
            </w:r>
          </w:p>
        </w:tc>
      </w:tr>
      <w:tr w:rsidR="008004E1" w:rsidRPr="008004E1" w:rsidTr="00F705BF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энергоаудита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энергоэффективности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подготовка энергетических паспортов  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Замена ламп уличного освещения на светодиодные светильники.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поселения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Суккуловский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Общий объем финансирования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гг.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составляет: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 бюджета поселения  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2020 г. –300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2021 г. – 300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2022 г. – 253,7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2023 г. – 250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2024 г. – 240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8004E1" w:rsidRPr="008004E1" w:rsidTr="00F705BF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сокращение расходов электрической энергии в муниципальных зданиях;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экономия электрической энергии в системах наружного освещения;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сокращение удельных показателей энергопотребления; 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повышение заинтересованности в энергосбережении</w:t>
            </w:r>
          </w:p>
        </w:tc>
      </w:tr>
    </w:tbl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 Пояснительная записка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состав сельского поселения входят пять населенных пунктов: села Суккулово,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Купченеево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Елань-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Чишма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деревни Богородский,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Князевка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Калиновка, Никитинка, Михайловка,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Райманово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Число проживающих в поселении составляет: 1675 человек. 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ТАРИФОВ НА ЭЛЕКТРИЧЕСКУЮ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ЭНЕРГИЮ  РУБ/ КВТЧ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080"/>
        <w:gridCol w:w="3039"/>
      </w:tblGrid>
      <w:tr w:rsidR="008004E1" w:rsidRPr="008004E1" w:rsidTr="00F705BF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2,22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116,32%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110,44%</w:t>
            </w:r>
          </w:p>
        </w:tc>
      </w:tr>
    </w:tbl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ТАРИФОВ НА ГАЗОСНАБЖЕНИЕ  РУБ/ КУБ. М.</w:t>
      </w:r>
    </w:p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172"/>
        <w:gridCol w:w="3255"/>
      </w:tblGrid>
      <w:tr w:rsidR="008004E1" w:rsidRPr="008004E1" w:rsidTr="00F705BF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5188,79/1000куб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5188,79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5365,21/1000куб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5365,21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5 532,53/1000куб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5 532,53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106,62 %</w:t>
            </w:r>
          </w:p>
        </w:tc>
      </w:tr>
    </w:tbl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8004E1" w:rsidRPr="008004E1" w:rsidRDefault="008004E1" w:rsidP="00800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ПОТРЕБЛЕНИЕ ЭНЕРГИИ 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Ермекеевский район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 проводились энергетические обследования (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отдельных зданий (учреждений). Основными недостатками являются: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потери теплого воздуха через оконные проемы, систему вентиляции,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неплотности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перекрытий, стен, трубопроводов и запорной арматуры;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энергоснабжающей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организации) за соблюдением необходимых параметров работы систем;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автоматизированного отпуска тепловой энергии в тепловых узлах отопления.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улучшения микроклимата в зданиях;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сельсовет,  при неизбежном росте тарифов.</w:t>
      </w:r>
    </w:p>
    <w:p w:rsidR="008004E1" w:rsidRPr="008004E1" w:rsidRDefault="008004E1" w:rsidP="008004E1">
      <w:pPr>
        <w:widowControl w:val="0"/>
        <w:spacing w:after="0" w:line="240" w:lineRule="auto"/>
        <w:ind w:left="720" w:right="140"/>
        <w:contextualSpacing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Содержание проблемы и обоснование необходимости </w:t>
      </w: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br/>
        <w:t>ее решения программным методом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Как показывает опыт, при проведении организациями, </w:t>
      </w:r>
      <w:r w:rsidRPr="008004E1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управляющими жилищным фондом, мероприятий по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переходу на расчеты с жителями за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right="1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Цели и задачи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осуществления поставленной цели необходимо решение следующих задач: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уменьшение потребления энергии и связанных с этим затрат в среднем на 5-10 % (2020-2024 годы);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внедрение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энергоэффективных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устройств (оборудования, технологий) в зданиях, расположенных на территории сельского  поселения 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004E1" w:rsidRPr="008004E1" w:rsidRDefault="008004E1" w:rsidP="008004E1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Сроки реализации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мероприятий долгосрочной Программы предусмотрена в период с 2020  по 2024 годы.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данном этапе предусматриваются:</w:t>
      </w:r>
    </w:p>
    <w:p w:rsidR="008004E1" w:rsidRPr="008004E1" w:rsidRDefault="008004E1" w:rsidP="008004E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организация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постоянного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зданий;</w:t>
      </w:r>
    </w:p>
    <w:p w:rsidR="008004E1" w:rsidRPr="008004E1" w:rsidRDefault="008004E1" w:rsidP="008004E1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Система программных мероприятий.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учреждениях и организациях бюджетной сферы  сельского поселения;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жилых домах частного сектора;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системах наружного освещения.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сельского поселения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Программа включает реализацию следующих мероприятий:</w:t>
      </w:r>
    </w:p>
    <w:p w:rsidR="008004E1" w:rsidRPr="008004E1" w:rsidRDefault="008004E1" w:rsidP="008004E1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Pr="008004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сельсовет 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потребленного ими в 2019 г. каждого из указанных ресурсов с ежегодным снижением такого объема не менее чем на 3%.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spell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пообъектных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(планов мероприятий) в области </w:t>
      </w:r>
      <w:bookmarkStart w:id="0" w:name="_GoBack"/>
      <w:bookmarkEnd w:id="0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энергосбережения и повышения энергетической эффективности;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прекращение закупки для муниципальных нужд ламп накаливания любой мощности, используемых в целях освещения;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004E1" w:rsidRPr="008004E1" w:rsidRDefault="008004E1" w:rsidP="008004E1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ресурсоснабжения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3.4. Проведение </w:t>
      </w:r>
      <w:proofErr w:type="spellStart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использования  электрической энергии в зданиях.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Чтобы избежать этого, требуется вести постоянный  мониторинг энергопотребления.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3.5. Модернизация систем освещения зданий,  помещений муниципальных учреждений.</w:t>
      </w:r>
    </w:p>
    <w:p w:rsidR="008004E1" w:rsidRPr="008004E1" w:rsidRDefault="008004E1" w:rsidP="008004E1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 Программы подлежат уточнению: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 результатам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проведенного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зданий;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8004E1" w:rsidRPr="008004E1" w:rsidRDefault="008004E1" w:rsidP="0080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3.6. Мероприятия по энергосбережению в системах наружного освещения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3.7. Развитие нормативно-правовой базы энергосбережения и повышения энергетической эффективности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являются: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проведением муниципальными учреждениями. 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3.8.  Популяризация энергосбережения в  сельском поселении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специального раздела сайта на официальном сайте администрации сельского поселения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Ресурсное обеспечение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внебюджетные источники.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 Программы из бюджета поселения составляет: 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 год – 300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2021 год -  300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2022 год – 253,7 </w:t>
      </w:r>
      <w:proofErr w:type="spell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2023 год – 250 </w:t>
      </w:r>
      <w:proofErr w:type="spell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2024 год – 240 </w:t>
      </w:r>
      <w:proofErr w:type="spell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Pr="0080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о бюджете на соответствующий финансовый год.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Система управления реализацией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6. Оценка эффективности реализации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экономия энергоресурсов и средств бюджета поселения по административному зданию   не менее 6%;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вредных выбросов в атмосферу;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бюджетных расходов на тепло- и энергоснабжение муниципальных учреждений;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заинтересованности в энергосбережении населения сельского поселения;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расходов тепловой и электрической энергии в муниципальных учреждениях;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экономия потребления ресурсов  в муниципальных учреждениях.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Экономия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8004E1" w:rsidRPr="008004E1" w:rsidRDefault="008004E1" w:rsidP="008004E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1-п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Методика и критерии оценки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эффективности долгосрочной целевой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«Энергосбережение и повышение энергетической эффективности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муниципальном образовании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сельского  поселения </w:t>
      </w:r>
      <w:r w:rsidRPr="008004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Суккуловский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сельсовет муниципального района Ермекеевский район Республики Башкортостан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на </w:t>
      </w:r>
      <w:r w:rsidRPr="008004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2020-2024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годы»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оценки эффективности реализации Программы: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B402AB" w:rsidRDefault="00B402AB"/>
    <w:sectPr w:rsidR="00B402AB" w:rsidSect="00A9491B">
      <w:pgSz w:w="11909" w:h="16834"/>
      <w:pgMar w:top="1440" w:right="992" w:bottom="426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C"/>
    <w:rsid w:val="001617CC"/>
    <w:rsid w:val="008004E1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04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04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kul1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НижнеулуЕлга</cp:lastModifiedBy>
  <cp:revision>2</cp:revision>
  <cp:lastPrinted>2020-06-19T09:59:00Z</cp:lastPrinted>
  <dcterms:created xsi:type="dcterms:W3CDTF">2020-06-19T10:03:00Z</dcterms:created>
  <dcterms:modified xsi:type="dcterms:W3CDTF">2020-06-19T10:03:00Z</dcterms:modified>
</cp:coreProperties>
</file>